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67</w:t>
      </w:r>
    </w:p>
    <w:p>
      <w:r>
        <w:t>Bundesgericht (BGE), 1990-01-11, IT</w:t>
      </w:r>
    </w:p>
    <w:p>
      <w:r>
        <w:rPr>
          <w:b/>
        </w:rPr>
        <w:t xml:space="preserve">Quelle: </w:t>
      </w:r>
      <w:r>
        <w:t>https://mcp.opencaselaw.ch/entscheid/bge_116 V 67</w:t>
      </w:r>
    </w:p>
    <w:p>
      <w:r>
        <w:t>FR: ATF 116 V 67</w:t>
      </w:r>
    </w:p>
    <w:p>
      <w:r>
        <w:t>IT: DTF 116 V 67</w:t>
      </w:r>
    </w:p>
    <w:p>
      <w:pPr>
        <w:pStyle w:val="Heading2"/>
      </w:pPr>
      <w:r>
        <w:t>Regeste</w:t>
      </w:r>
    </w:p>
    <w:p>
      <w:r>
        <w:t>Regeste Art. 23 Abs. 3 AHVG, Art. 46 Abs. 3 AHVV: Anspruch auf Witwenrente bei zweimaliger Scheidung. - Art. 23 Abs. 3 AHVG und Art. 46 Abs. 3 AHVV räumen der geschiedenen und wiederverheirateten Frau keinen Anspruch auf eine Witwenrente ein, wenn nach Scheidung der zweiten Ehe der erste Ex-Mann stirbt: die Anerkennung eines Witwenrentenanspruchs nach Scheidung der zweiten Ehe aufgrund des Todes des früheren Ehemannes setzt voraus, dass ein solcher Anspruch vor der zweiten Eheschliessung entstanden ist. - Eine Berufung auf die Grundsätze, welche die Rechtsprechung in BGE 101 V 11 zur Berechnung der einer geschiedenen Frau zustehenden Altersrente aufgestellt hat und nach welchen in einem solchen Fall die zweite Ehe in Abweichung vom Zivilrecht nicht berücksichtigt wird, ist im vorliegenden Zusammenhang unzulässig.</w:t>
      </w:r>
    </w:p>
    <w:p>
      <w:pPr>
        <w:pStyle w:val="Heading2"/>
      </w:pPr>
      <w:r>
        <w:t>Erwägungen</w:t>
      </w:r>
    </w:p>
    <w:p>
      <w:r>
        <w:rPr>
          <w:b/>
        </w:rPr>
        <w:t>E. 1</w:t>
      </w:r>
    </w:p>
    <w:p>
      <w:r>
        <w:t>(Potere cognitivo)</w:t>
      </w:r>
    </w:p>
    <w:p>
      <w:r>
        <w:rPr>
          <w:b/>
        </w:rPr>
        <w:t>E. 2</w:t>
      </w:r>
    </w:p>
    <w:p>
      <w:r>
        <w:t>a) Giusta l' art. 23 cpv. 1 LAVS le vedove, quando siano dati i particolari presupposti annoverati alle lettere da a) a d), hanno diritto a rendita. Per il cpv. 2 della norma la donna divorziata, in caso di morte del marito dal quale è divorziata, viene parificata alla vedova, se il matrimonio è durato almeno 10 anni e se il marito era obbligato a pagare una pensione alimentare. Secondo il cpv. 3 del disposto (in vigore dal 1o gennaio 1973 - VIII revisione AVS -) il diritto alla rendita vedovile nasce il primo BGE 116 V 67 S. 70 giorno del mese in cui è avvenuta la morte del marito. Esso si estingue con il passaggio a nuove nozze, con la nascita del diritto alla rendita semplice di vecchiaia, nonché con la morte della vedova. Il diritto rinasce secondo le condizioni stabilite dal Consiglio federale, se le nuove nozze sono dichiarate nulle o vengono disciolte. Ai sensi dell' art. 46 cpv. 3 OAVS il diritto a rendita per vedove, estinto con il nuovo matrimonio della vedova, rinasce il primo giorno del mese successivo allo scioglimento del matrimonio, se esso è dichiarato sciolto o nullo entro i 10 anni dalla sua conclusione. Nel Messaggio dell'11 ottobre 1971 concernente l'VIII revisione dell'AVS, il Consiglio federale ha giustificato la proposta relativa all'adozione del cpv. 3 dell' art. 23 LAVS , affermando segnatamente: "Nell'intento di migliorare maggiormente la situazione della donna divorziata, è previsto che il diritto alla rendita per vedove, che si estingue al momento di un secondo matrimonio, debba rinascere, non solo in caso di annullamento di questo matrimonio, ma, come in altre istituzioni di sicurezza sociale (p.es. nell'assicurazione militare, articolo 30 capoverso 2 della LAM, e nella Cassa federale d'assicurazione...), anche in seguito allo scioglimento del secondo matrimonio. Situazioni di disagio vengono così eliminate, che sono riscontrabili soprattutto quando il matrimonio, contratto per un senso di solitudine o in età avanzata, cioè quando secondo l'esperienza le possibilità di una rottura sono molto grandi, vien sciolto dopo breve periodo con un divorzio (FF 1971 II 773)." La proposta venne senza speciali commenti adottata dalle Commissioni e dai due rami del Parlamento (Boll.uff. CN 1972 375 e Boll.uff. CSt 1972 296). Mette conto di soggiungere che il richiamato art. 30 LAM riconosce al coniuge divorziato, al momento della morte dell'assicurato, un diritto a rendita nella misura in cui il defunto era tenuto a somministrare alimenti (cpv. 2) e che il coniuge superstite che si risposa conserva - a meno che richieda un determinato indennizzo - il diritto alla rendita, ancorché questo rimanga sospeso per tutta la durata del nuovo matrimonio (cpv. 3). Analoga disposizione è contenuta negli statuti della Cassa federale di assicurazione. b) Orbene le norme di legge indicate, nella loro interpretazione letterale, non consentono la soluzione adottata dai primi giudici, come essi del resto hanno osservato nel querelato giudizio. Perché, dopo lo scioglimento di nuove nozze, rinasca il diritto a rendita BGE 116 V 67 S. 71 vedovile occorre che il diritto alla stessa sia insorto prima della celebrazione del secondo matrimonio. Non altrimenti può essere interpretato l' art. 23 cpv. 3 LAVS , il quale afferma che il diritto "nasce", che in seguito "si estingue" e che infine "rinasce". Né altra interpretazione può essere dedotta dai testi tedesco e francese: nel primo si afferma che il diritto "entsteht", "erlischt" e "lebt wieder auf"; nel secondo che lo stesso "prend naissance", "s'éteint" e "naît à nouveau". Nemmeno infine diversa pareva essere la volontà del legislatore, il quale nel Messaggio accennava essere "previsto che il diritto ... che si estingue al momento di un secondo matrimonio debba rinascere ... in seguito allo scioglimento del secondo matrimonio" ciò richiamando in particolare l' art. 30 cpv. 2 LAM , secondo il quale, come è stato detto, la divorziata ha diritto a rendita vedovile al momento della morte dell'assicurato, diritto conservato, ma sospeso per tutta la durata di un nuovo matrimonio. Giova poi rilevare che la disposizione dell' art. 23 cpv. 3 LAVS deve valere in ogni caso di rendita di vedova, ossia quella di vedova vera e propria e quella di divorziata parificata a vedova. Per giustificare la soluzione adottata, i giudici cantonali si sono prevalsi di giurisprudenza federale, pubblicata in DTF 101 V 11 . Dalla stessa essi hanno dedotto che comunque la volontà del legislatore sarebbe stata quella di non considerare, in nessuna ipotesi, un successivo matrimonio che fosse durato meno di 5 anni. Ora detta sentenza concerne un caso di applicazione dell' art. 31 cpv. 3 e 4 LAVS relativo al calcolo della rendita di vecchiaia, spettante alla donna divorziata. Essa giurisprudenza trova giustificazione nella determinazione delle basi di calcolo più favorevoli ai fini dell'erogazione della prestazione di vecchiaia, ma non dice affatto quanto vorrebbero i giudici cantonali: infatti, nella stessa si afferma, con riferimento agli art. 23 cpv. 3 LAVS e 46 cpv. 3 OAVS, che nel caso di una donna divorziata due volte, la quale percepiva una rendita di vedova al seguito del decesso del primo ex marito, il secondo matrimonio non viene preso in considerazione e la donna ridiviene in un certo qual modo, ai fini dell'AVS, la moglie divorziata del primo marito ( DTF 101 V 15 consid. 2b). Presupposto per l'applicazione della norma di cui all' art. 23 cpv. 3 LAVS è pertanto, giusta la stessa giurisprudenza presa a base dall'autorità giudiziaria cantonale, il fatto di avere beneficiato - prima del secondo matrimonio - di una rendita vedovile, indifferente se quale vedova o quale divorziata parificata a vedova. BGE 116 V 67 S. 72 Del resto, sulla nozione di vedova questa Corte, per affermare che il testo dell' art. 23 LAVS non era del tutto preciso, ha ritenuto di dover asserire essere ai sensi del disposto una donna considerata vedova limitatamente al tempo che precede le nuove nozze ( DTF 105 V 9 ). Da queste considerazioni deve essere dedotto che la soluzione dei primi giudici contrasta con il testo della legge e con la manifesta volontà del legislatore, il quale ha indicato che la divorziata parificata a vedova per la morte dell'ex marito ha diritto - se esisteva un obbligo alimentare - a rendita vedovile, rendita che decade in caso di nuove nozze, per rinascere in caso di scioglimento del nuovo matrimonio, ma non assegna alla donna divorziata e risposata il diritto a rendita vedovile una volta sciolto il secondo matrimonio, se successivamente viene a morire il primo ex marito. In sostanza i motivi che giustificavano nell'ambito d'applicazione dell' art. 31 cpv. 3 e 4 LAVS di derogare ai principi del diritto civile, nel senso di non ritenere determinante l'ultimo matrimonio (cfr. DTF 101 V 16 consid. 2c), non sono di rilievo trattandosi di accertare i diritti della vedova ai sensi degli art. 23 cpv. 3 LAVS e 46 cpv. 3 OAVS.</w:t>
      </w:r>
    </w:p>
    <w:p>
      <w:r>
        <w:rPr>
          <w:b/>
        </w:rPr>
        <w:t>E. 3</w:t>
      </w:r>
    </w:p>
    <w:p>
      <w:r>
        <w:t>In tali condizioni, ritenuto che Miriam S. non è stata percettrice di una rendita vedovile prima del nuovo matrimonio, il giudizio cantonale querelato che riconosce all'opponente il diritto alle prestazioni litigiose deve essere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